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A1" w:rsidRPr="00A83450" w:rsidRDefault="004F1BA1" w:rsidP="004F1BA1">
      <w:pPr>
        <w:widowControl/>
        <w:shd w:val="clear" w:color="auto" w:fill="FFFFFF"/>
        <w:bidi w:val="0"/>
        <w:ind w:firstLine="0"/>
        <w:jc w:val="center"/>
        <w:rPr>
          <w:rFonts w:asciiTheme="majorHAnsi" w:hAnsiTheme="majorHAnsi" w:cs="PT Bold Heading"/>
          <w:color w:val="222222"/>
          <w:sz w:val="44"/>
          <w:szCs w:val="44"/>
          <w:lang w:eastAsia="en-US"/>
        </w:rPr>
      </w:pPr>
      <w:r w:rsidRPr="00A83450">
        <w:rPr>
          <w:rFonts w:asciiTheme="majorHAnsi" w:hAnsiTheme="majorHAnsi" w:cs="PT Bold Heading"/>
          <w:color w:val="222222"/>
          <w:sz w:val="44"/>
          <w:szCs w:val="44"/>
          <w:lang w:eastAsia="en-US"/>
        </w:rPr>
        <w:t>Tanzimat'ın Dili</w:t>
      </w:r>
    </w:p>
    <w:p w:rsidR="004F1BA1" w:rsidRPr="00A83450" w:rsidRDefault="004F1BA1" w:rsidP="004F1BA1">
      <w:pPr>
        <w:widowControl/>
        <w:shd w:val="clear" w:color="auto" w:fill="FFFFFF"/>
        <w:bidi w:val="0"/>
        <w:ind w:firstLine="0"/>
        <w:jc w:val="right"/>
        <w:rPr>
          <w:rFonts w:asciiTheme="majorHAnsi" w:hAnsiTheme="majorHAnsi" w:cs="PT Bold Heading"/>
          <w:b/>
          <w:bCs/>
          <w:color w:val="222222"/>
          <w:sz w:val="24"/>
          <w:szCs w:val="24"/>
          <w:lang w:eastAsia="en-US"/>
        </w:rPr>
      </w:pPr>
      <w:r w:rsidRPr="00A83450">
        <w:rPr>
          <w:rFonts w:asciiTheme="majorHAnsi" w:hAnsiTheme="majorHAnsi" w:cs="PT Bold Heading"/>
          <w:color w:val="222222"/>
          <w:sz w:val="28"/>
          <w:szCs w:val="28"/>
          <w:lang w:eastAsia="en-US"/>
        </w:rPr>
        <w:t xml:space="preserve">                 </w:t>
      </w:r>
      <w:proofErr w:type="gramStart"/>
      <w:r w:rsidRPr="00A83450">
        <w:rPr>
          <w:rFonts w:asciiTheme="majorHAnsi" w:hAnsiTheme="majorHAnsi" w:cs="PT Bold Heading"/>
          <w:b/>
          <w:bCs/>
          <w:color w:val="222222"/>
          <w:sz w:val="24"/>
          <w:szCs w:val="24"/>
          <w:lang w:eastAsia="en-US"/>
        </w:rPr>
        <w:t>Yrd.</w:t>
      </w:r>
      <w:proofErr w:type="gramEnd"/>
      <w:r w:rsidRPr="00A83450">
        <w:rPr>
          <w:rFonts w:asciiTheme="majorHAnsi" w:hAnsiTheme="majorHAnsi" w:cs="PT Bold Heading"/>
          <w:b/>
          <w:bCs/>
          <w:color w:val="222222"/>
          <w:sz w:val="24"/>
          <w:szCs w:val="24"/>
          <w:lang w:eastAsia="en-US"/>
        </w:rPr>
        <w:t xml:space="preserve"> </w:t>
      </w:r>
      <w:proofErr w:type="gramStart"/>
      <w:r w:rsidRPr="00A83450">
        <w:rPr>
          <w:rFonts w:asciiTheme="majorHAnsi" w:hAnsiTheme="majorHAnsi" w:cs="PT Bold Heading"/>
          <w:b/>
          <w:bCs/>
          <w:color w:val="222222"/>
          <w:sz w:val="24"/>
          <w:szCs w:val="24"/>
          <w:lang w:eastAsia="en-US"/>
        </w:rPr>
        <w:t>Doç.</w:t>
      </w:r>
      <w:proofErr w:type="gramEnd"/>
      <w:r w:rsidRPr="00A83450">
        <w:rPr>
          <w:rFonts w:asciiTheme="majorHAnsi" w:hAnsiTheme="majorHAnsi" w:cs="PT Bold Heading"/>
          <w:b/>
          <w:bCs/>
          <w:color w:val="222222"/>
          <w:sz w:val="24"/>
          <w:szCs w:val="24"/>
          <w:lang w:eastAsia="en-US"/>
        </w:rPr>
        <w:t xml:space="preserve"> Dr. Ejder Okumuş</w:t>
      </w:r>
    </w:p>
    <w:p w:rsidR="004F1BA1" w:rsidRPr="00A83450" w:rsidRDefault="004F1BA1" w:rsidP="004F1BA1">
      <w:pPr>
        <w:widowControl/>
        <w:shd w:val="clear" w:color="auto" w:fill="FFFFFF"/>
        <w:bidi w:val="0"/>
        <w:ind w:firstLine="0"/>
        <w:jc w:val="right"/>
        <w:rPr>
          <w:rFonts w:asciiTheme="majorHAnsi" w:hAnsiTheme="majorHAnsi" w:cs="PT Bold Heading"/>
          <w:color w:val="222222"/>
          <w:sz w:val="28"/>
          <w:szCs w:val="28"/>
          <w:lang w:eastAsia="en-US"/>
        </w:rPr>
      </w:pPr>
    </w:p>
    <w:p w:rsidR="004F1BA1" w:rsidRPr="00A83450" w:rsidRDefault="004F1BA1" w:rsidP="00C56BF0">
      <w:pPr>
        <w:widowControl/>
        <w:shd w:val="clear" w:color="auto" w:fill="FFFFFF"/>
        <w:bidi w:val="0"/>
        <w:ind w:firstLine="720"/>
        <w:rPr>
          <w:rFonts w:asciiTheme="majorHAnsi" w:hAnsiTheme="majorHAnsi" w:cs="PT Bold Heading"/>
          <w:color w:val="222222"/>
          <w:sz w:val="30"/>
          <w:szCs w:val="30"/>
          <w:lang w:eastAsia="en-US"/>
        </w:rPr>
      </w:pPr>
      <w:proofErr w:type="gramStart"/>
      <w:r w:rsidRPr="00A83450">
        <w:rPr>
          <w:rFonts w:asciiTheme="majorHAnsi" w:hAnsiTheme="majorHAnsi" w:cs="PT Bold Heading"/>
          <w:color w:val="222222"/>
          <w:sz w:val="30"/>
          <w:szCs w:val="30"/>
          <w:lang w:eastAsia="en-US"/>
        </w:rPr>
        <w:t>Türkiye'de dil reformunun, Türkçenin yeniden yapılmasının temellerinin 1839'la gelen süreçle başladığı söylenebilir.</w:t>
      </w:r>
      <w:proofErr w:type="gramEnd"/>
      <w:r w:rsidRPr="00A83450">
        <w:rPr>
          <w:rFonts w:asciiTheme="majorHAnsi" w:hAnsiTheme="majorHAnsi" w:cs="PT Bold Heading"/>
          <w:color w:val="222222"/>
          <w:sz w:val="30"/>
          <w:szCs w:val="30"/>
          <w:lang w:eastAsia="en-US"/>
        </w:rPr>
        <w:t xml:space="preserve"> </w:t>
      </w:r>
      <w:proofErr w:type="gramStart"/>
      <w:r w:rsidRPr="00A83450">
        <w:rPr>
          <w:rFonts w:asciiTheme="majorHAnsi" w:hAnsiTheme="majorHAnsi" w:cs="PT Bold Heading"/>
          <w:color w:val="222222"/>
          <w:sz w:val="30"/>
          <w:szCs w:val="30"/>
          <w:lang w:eastAsia="en-US"/>
        </w:rPr>
        <w:t>Tanzimat'la birlikte Osmanlılarda kendini gösteren sosyal ve siyasî değişim, sosyal bir fenomen olarak dilde ifadesini bulmuş, toplumsal nesnelleşmenin temel biçimi olan dilde tezahür etmiş veya dile yansımıştır.</w:t>
      </w:r>
      <w:proofErr w:type="gramEnd"/>
      <w:r w:rsidRPr="00A83450">
        <w:rPr>
          <w:rFonts w:asciiTheme="majorHAnsi" w:hAnsiTheme="majorHAnsi" w:cs="PT Bold Heading"/>
          <w:color w:val="222222"/>
          <w:sz w:val="30"/>
          <w:szCs w:val="30"/>
          <w:lang w:eastAsia="en-US"/>
        </w:rPr>
        <w:t>  </w:t>
      </w:r>
      <w:proofErr w:type="gramStart"/>
      <w:r w:rsidRPr="00A83450">
        <w:rPr>
          <w:rFonts w:asciiTheme="majorHAnsi" w:hAnsiTheme="majorHAnsi" w:cs="PT Bold Heading"/>
          <w:color w:val="222222"/>
          <w:sz w:val="30"/>
          <w:szCs w:val="30"/>
          <w:lang w:eastAsia="en-US"/>
        </w:rPr>
        <w:t>Dolayısıyla dildeki değişimlerden Tanzimat'ın getirdiği değişim anlaşılabilir.</w:t>
      </w:r>
      <w:proofErr w:type="gramEnd"/>
    </w:p>
    <w:p w:rsidR="004F1BA1" w:rsidRPr="00A83450" w:rsidRDefault="004F1BA1" w:rsidP="004F1BA1">
      <w:pPr>
        <w:widowControl/>
        <w:shd w:val="clear" w:color="auto" w:fill="FFFFFF"/>
        <w:bidi w:val="0"/>
        <w:ind w:firstLine="720"/>
        <w:rPr>
          <w:rFonts w:asciiTheme="majorHAnsi" w:hAnsiTheme="majorHAnsi" w:cs="PT Bold Heading"/>
          <w:color w:val="222222"/>
          <w:sz w:val="28"/>
          <w:szCs w:val="28"/>
          <w:lang w:eastAsia="en-US"/>
        </w:rPr>
      </w:pPr>
    </w:p>
    <w:p w:rsidR="00545448" w:rsidRPr="00A83450" w:rsidRDefault="00545448" w:rsidP="00545448">
      <w:pPr>
        <w:widowControl/>
        <w:shd w:val="clear" w:color="auto" w:fill="FFFFFF"/>
        <w:bidi w:val="0"/>
        <w:ind w:firstLine="720"/>
        <w:rPr>
          <w:rFonts w:asciiTheme="majorHAnsi" w:hAnsiTheme="majorHAnsi" w:cs="PT Bold Heading"/>
          <w:color w:val="222222"/>
          <w:sz w:val="32"/>
          <w:szCs w:val="32"/>
          <w:lang w:eastAsia="en-US"/>
        </w:rPr>
      </w:pPr>
      <w:proofErr w:type="gramStart"/>
      <w:r w:rsidRPr="00A83450">
        <w:rPr>
          <w:rFonts w:asciiTheme="majorHAnsi" w:hAnsiTheme="majorHAnsi" w:cs="PT Bold Heading"/>
          <w:color w:val="222222"/>
          <w:sz w:val="32"/>
          <w:szCs w:val="32"/>
          <w:lang w:eastAsia="en-US"/>
        </w:rPr>
        <w:t>Tanzimat diliyle ilgili öncelikle belirtelim ki diğer alanlarda olduğu gibi dilde de değişim veya yenilik siyasî sahnede devlet dilinde başlamış, pek çok kelime ve kavram değişime uğrarken birçok modern kavram da Türkçeye girmiş ve sözkonusu değişim zaman içinde yukarıdan aşağıya doğru yayılarak toplumun dilini değiştirmiştir.</w:t>
      </w:r>
      <w:proofErr w:type="gramEnd"/>
    </w:p>
    <w:p w:rsidR="004F1BA1" w:rsidRPr="00A83450" w:rsidRDefault="004F1BA1">
      <w:pPr>
        <w:rPr>
          <w:rFonts w:asciiTheme="majorHAnsi" w:hAnsiTheme="majorHAnsi" w:cs="PT Bold Heading"/>
          <w:sz w:val="30"/>
          <w:szCs w:val="30"/>
        </w:rPr>
      </w:pPr>
    </w:p>
    <w:p w:rsidR="00C56BF0" w:rsidRPr="00A83450" w:rsidRDefault="00490037" w:rsidP="00C56BF0">
      <w:pPr>
        <w:bidi w:val="0"/>
        <w:rPr>
          <w:rFonts w:asciiTheme="majorHAnsi" w:hAnsiTheme="majorHAnsi" w:cs="PT Bold Heading"/>
          <w:color w:val="222222"/>
          <w:sz w:val="32"/>
          <w:szCs w:val="32"/>
          <w:rtl/>
          <w:lang w:eastAsia="en-US"/>
        </w:rPr>
      </w:pPr>
      <w:proofErr w:type="gramStart"/>
      <w:r w:rsidRPr="00A83450">
        <w:rPr>
          <w:rFonts w:asciiTheme="majorHAnsi" w:hAnsiTheme="majorHAnsi" w:cs="PT Bold Heading"/>
          <w:color w:val="222222"/>
          <w:sz w:val="32"/>
          <w:szCs w:val="32"/>
          <w:lang w:eastAsia="en-US"/>
        </w:rPr>
        <w:t>Tanzimat öncesi dil değişiminin önemli kaynaklarından biri de özellikle II.</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Mahmud döneminde açılan okullarda, öncelikle de Harbiye ve Tıbbiye'de alınan yabancı dil eğitimleri, tercüme ders kitapları, Avrupalı hocalar olarak ifade edilebilir.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Kuşkusuz aynı hususlar Tanzimat Dönemi için de geçerlidir.</w:t>
      </w:r>
      <w:proofErr w:type="gramEnd"/>
    </w:p>
    <w:p w:rsidR="00C56BF0" w:rsidRPr="00A83450" w:rsidRDefault="00C56BF0" w:rsidP="00C56BF0">
      <w:pPr>
        <w:bidi w:val="0"/>
        <w:rPr>
          <w:rFonts w:asciiTheme="majorHAnsi" w:hAnsiTheme="majorHAnsi" w:cs="PT Bold Heading"/>
          <w:color w:val="222222"/>
          <w:sz w:val="32"/>
          <w:szCs w:val="32"/>
          <w:rtl/>
          <w:lang w:eastAsia="en-US"/>
        </w:rPr>
      </w:pPr>
    </w:p>
    <w:p w:rsidR="00C56BF0" w:rsidRPr="00A83450" w:rsidRDefault="00490037" w:rsidP="00C56BF0">
      <w:pPr>
        <w:bidi w:val="0"/>
        <w:rPr>
          <w:rFonts w:asciiTheme="majorHAnsi" w:hAnsiTheme="majorHAnsi" w:cs="PT Bold Heading"/>
          <w:color w:val="222222"/>
          <w:sz w:val="32"/>
          <w:szCs w:val="32"/>
          <w:rtl/>
          <w:lang w:eastAsia="en-US"/>
        </w:rPr>
      </w:pPr>
      <w:proofErr w:type="gramStart"/>
      <w:r w:rsidRPr="00A83450">
        <w:rPr>
          <w:rFonts w:asciiTheme="majorHAnsi" w:hAnsiTheme="majorHAnsi" w:cs="PT Bold Heading"/>
          <w:color w:val="222222"/>
          <w:sz w:val="32"/>
          <w:szCs w:val="32"/>
          <w:lang w:eastAsia="en-US"/>
        </w:rPr>
        <w:t>Tanzimat öncesi ve sonrası dilin değişim kaynaklarından bir diğeri ve belki de en önemlilerinden biri kuşkusuz matbaa ve basındır.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Matbaanın Türkiye'de kurulmasıyla birlikte temel İslamî kaynakların dışında pek çok Türkçe eser basılmış ve bu eserler özellikle tercüme edilenler, Türkçeyi etkilemiştir.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Aynı şekilde ve en önemlisi de II.</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Mahmud döneminde basılmaya başlanan ilk resmî devlet gazetesinin etkileridir.</w:t>
      </w:r>
      <w:proofErr w:type="gramEnd"/>
    </w:p>
    <w:p w:rsidR="00490037" w:rsidRPr="00A83450" w:rsidRDefault="00490037" w:rsidP="00A83450">
      <w:pPr>
        <w:bidi w:val="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br/>
      </w:r>
      <w:r w:rsidR="00A83450"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Bunların dışında tercüme eserler, yabancı dil dersleri, sıkı diplomasi ilişkileri, Batılı hocaların okullarda ders vermeleri, resmî uluslararası yazışmalar, kuşkusuz Tanzimat dilinin oluşmasında etkili olan faktörlerdir.</w:t>
      </w:r>
      <w:proofErr w:type="gramEnd"/>
    </w:p>
    <w:p w:rsidR="00C56BF0" w:rsidRPr="00A83450" w:rsidRDefault="00490037" w:rsidP="00C56BF0">
      <w:pPr>
        <w:bidi w:val="0"/>
        <w:rPr>
          <w:rFonts w:asciiTheme="majorHAnsi" w:hAnsiTheme="majorHAnsi" w:cs="PT Bold Heading"/>
          <w:color w:val="222222"/>
          <w:sz w:val="32"/>
          <w:szCs w:val="32"/>
          <w:rtl/>
          <w:lang w:eastAsia="en-US"/>
        </w:rPr>
      </w:pPr>
      <w:proofErr w:type="gramStart"/>
      <w:r w:rsidRPr="00A83450">
        <w:rPr>
          <w:rFonts w:asciiTheme="majorHAnsi" w:hAnsiTheme="majorHAnsi" w:cs="PT Bold Heading"/>
          <w:color w:val="222222"/>
          <w:sz w:val="32"/>
          <w:szCs w:val="32"/>
          <w:lang w:eastAsia="en-US"/>
        </w:rPr>
        <w:lastRenderedPageBreak/>
        <w:t>Tanzimat dilinin oluşmasında ve bunun nispeten seçkinlerin dışına çıkarak halka ulaşmasında etkili olan en önemli araç, elbette gazetelerdir.</w:t>
      </w:r>
      <w:proofErr w:type="gramEnd"/>
      <w:r w:rsidRPr="00A83450">
        <w:rPr>
          <w:rFonts w:asciiTheme="majorHAnsi" w:hAnsiTheme="majorHAnsi" w:cs="PT Bold Heading"/>
          <w:color w:val="222222"/>
          <w:sz w:val="32"/>
          <w:szCs w:val="32"/>
          <w:lang w:eastAsia="en-US"/>
        </w:rPr>
        <w:t> </w:t>
      </w:r>
    </w:p>
    <w:p w:rsidR="00C56BF0" w:rsidRPr="00A83450" w:rsidRDefault="00490037" w:rsidP="00A83450">
      <w:pPr>
        <w:bidi w:val="0"/>
        <w:rPr>
          <w:rFonts w:asciiTheme="majorHAnsi" w:hAnsiTheme="majorHAnsi" w:cs="PT Bold Heading"/>
          <w:color w:val="222222"/>
          <w:sz w:val="32"/>
          <w:szCs w:val="32"/>
          <w:rtl/>
          <w:lang w:eastAsia="en-US"/>
        </w:rPr>
      </w:pPr>
      <w:r w:rsidRPr="00A83450">
        <w:rPr>
          <w:rFonts w:asciiTheme="majorHAnsi" w:hAnsiTheme="majorHAnsi" w:cs="PT Bold Heading"/>
          <w:color w:val="222222"/>
          <w:sz w:val="32"/>
          <w:szCs w:val="32"/>
          <w:lang w:eastAsia="en-US"/>
        </w:rPr>
        <w:br/>
      </w:r>
      <w:r w:rsidR="00C56BF0" w:rsidRPr="00A83450">
        <w:rPr>
          <w:rFonts w:asciiTheme="majorHAnsi" w:hAnsiTheme="majorHAnsi" w:cs="PT Bold Heading"/>
          <w:color w:val="222222"/>
          <w:sz w:val="32"/>
          <w:szCs w:val="32"/>
          <w:rtl/>
          <w:lang w:eastAsia="en-US"/>
        </w:rPr>
        <w:t xml:space="preserve">      </w:t>
      </w:r>
      <w:proofErr w:type="gramStart"/>
      <w:r w:rsidRPr="00A83450">
        <w:rPr>
          <w:rFonts w:asciiTheme="majorHAnsi" w:hAnsiTheme="majorHAnsi" w:cs="PT Bold Heading"/>
          <w:color w:val="222222"/>
          <w:sz w:val="32"/>
          <w:szCs w:val="32"/>
          <w:lang w:eastAsia="en-US"/>
        </w:rPr>
        <w:t>Reformların önemli taşıyıcılarından olan gazeteler, Tanzimat sürecinde Batılı terim ve kelimelerin Türkçeye girmesinde, Türk dilinin vulgar</w:t>
      </w:r>
      <w:r w:rsidR="00F10B1F" w:rsidRPr="00A83450">
        <w:rPr>
          <w:rFonts w:asciiTheme="majorHAnsi" w:hAnsiTheme="majorHAnsi" w:cs="PT Bold Heading"/>
          <w:color w:val="222222"/>
          <w:sz w:val="32"/>
          <w:szCs w:val="32"/>
          <w:lang w:eastAsia="en-US"/>
        </w:rPr>
        <w:t>izasyon ve sekülarizasyonunda,</w:t>
      </w:r>
      <w:r w:rsidR="00F10B1F" w:rsidRPr="00A83450">
        <w:rPr>
          <w:rFonts w:asciiTheme="majorHAnsi" w:hAnsiTheme="majorHAnsi" w:cs="PT Bold Heading"/>
          <w:color w:val="222222"/>
          <w:sz w:val="32"/>
          <w:szCs w:val="32"/>
          <w:rtl/>
          <w:lang w:eastAsia="en-US"/>
        </w:rPr>
        <w:t xml:space="preserve"> </w:t>
      </w:r>
      <w:r w:rsidRPr="00A83450">
        <w:rPr>
          <w:rFonts w:asciiTheme="majorHAnsi" w:hAnsiTheme="majorHAnsi" w:cs="PT Bold Heading"/>
          <w:color w:val="222222"/>
          <w:sz w:val="32"/>
          <w:szCs w:val="32"/>
          <w:lang w:eastAsia="en-US"/>
        </w:rPr>
        <w:t>önemli rol oynamışlardır.</w:t>
      </w:r>
      <w:proofErr w:type="gramEnd"/>
      <w:r w:rsidRPr="00A83450">
        <w:rPr>
          <w:rFonts w:asciiTheme="majorHAnsi" w:hAnsiTheme="majorHAnsi" w:cs="PT Bold Heading"/>
          <w:color w:val="222222"/>
          <w:sz w:val="32"/>
          <w:szCs w:val="32"/>
          <w:lang w:eastAsia="en-US"/>
        </w:rPr>
        <w:t xml:space="preserve"> Bu dönemlerde özellikle gazeteler vasıtasıyla abluka, konstitüsyon, banka, kavânîn-i mevzûa, borsa, liberaller, radikaller, poliçe, serbestiyet, nutuk, muzika, meclis, millet meclisi, ihtilal, cumhur, cumhuriyet, cumhur reisi, parlamento meclisi, müttefik, isyan, imtiyâzât gibi kelimeler yavaş yavaş bugünkü anlamlarında Türkçede</w:t>
      </w:r>
      <w:r w:rsidR="00C56BF0" w:rsidRPr="00A83450">
        <w:rPr>
          <w:rFonts w:asciiTheme="majorHAnsi" w:hAnsiTheme="majorHAnsi" w:cs="PT Bold Heading"/>
          <w:color w:val="222222"/>
          <w:sz w:val="32"/>
          <w:szCs w:val="32"/>
          <w:lang w:eastAsia="en-US"/>
        </w:rPr>
        <w:t xml:space="preserve"> kullanılmaya başlanmışlardır.</w:t>
      </w:r>
    </w:p>
    <w:p w:rsidR="00490037" w:rsidRPr="00A83450" w:rsidRDefault="00490037" w:rsidP="00F10B1F">
      <w:pPr>
        <w:bidi w:val="0"/>
        <w:rPr>
          <w:rFonts w:asciiTheme="majorHAnsi" w:hAnsiTheme="majorHAnsi" w:cs="PT Bold Heading"/>
          <w:sz w:val="30"/>
          <w:szCs w:val="30"/>
        </w:rPr>
      </w:pPr>
    </w:p>
    <w:p w:rsidR="00490037" w:rsidRPr="00A83450" w:rsidRDefault="00490037" w:rsidP="00F10B1F">
      <w:pPr>
        <w:bidi w:val="0"/>
        <w:rPr>
          <w:rFonts w:asciiTheme="majorHAnsi" w:hAnsiTheme="majorHAnsi" w:cs="PT Bold Heading"/>
          <w:color w:val="222222"/>
          <w:sz w:val="32"/>
          <w:szCs w:val="32"/>
          <w:lang w:eastAsia="en-US"/>
        </w:rPr>
      </w:pPr>
      <w:proofErr w:type="gramStart"/>
      <w:r w:rsidRPr="00A83450">
        <w:rPr>
          <w:rFonts w:asciiTheme="majorHAnsi" w:hAnsiTheme="majorHAnsi" w:cs="PT Bold Heading"/>
          <w:color w:val="222222"/>
          <w:sz w:val="32"/>
          <w:szCs w:val="32"/>
          <w:lang w:eastAsia="en-US"/>
        </w:rPr>
        <w:t>Nihayette Tanzimat Dönemi'nde Türk dilinde, özellikle de nesrinde değişiklik daha ziyade resmî dilde başlar.</w:t>
      </w:r>
      <w:proofErr w:type="gramEnd"/>
      <w:r w:rsidRPr="00A83450">
        <w:rPr>
          <w:rFonts w:asciiTheme="majorHAnsi" w:hAnsiTheme="majorHAnsi" w:cs="PT Bold Heading"/>
          <w:color w:val="222222"/>
          <w:sz w:val="32"/>
          <w:szCs w:val="32"/>
          <w:lang w:eastAsia="en-US"/>
        </w:rPr>
        <w:t xml:space="preserve"> Bu dönemdeki gazeteler (Takvim-i </w:t>
      </w:r>
      <w:proofErr w:type="gramStart"/>
      <w:r w:rsidRPr="00A83450">
        <w:rPr>
          <w:rFonts w:asciiTheme="majorHAnsi" w:hAnsiTheme="majorHAnsi" w:cs="PT Bold Heading"/>
          <w:color w:val="222222"/>
          <w:sz w:val="32"/>
          <w:szCs w:val="32"/>
          <w:lang w:eastAsia="en-US"/>
        </w:rPr>
        <w:t>Vekayi' ve</w:t>
      </w:r>
      <w:proofErr w:type="gramEnd"/>
      <w:r w:rsidRPr="00A83450">
        <w:rPr>
          <w:rFonts w:asciiTheme="majorHAnsi" w:hAnsiTheme="majorHAnsi" w:cs="PT Bold Heading"/>
          <w:color w:val="222222"/>
          <w:sz w:val="32"/>
          <w:szCs w:val="32"/>
          <w:lang w:eastAsia="en-US"/>
        </w:rPr>
        <w:t xml:space="preserve"> Ceride-i Havadis) de resmî olduğu ve sayıldığı için bunlardaki değişim de resmî alana dahil edilebilir. Gazetelerde kullanılan bazı kelimelere bakıldığında Batı etkisinin ne </w:t>
      </w:r>
      <w:proofErr w:type="gramStart"/>
      <w:r w:rsidRPr="00A83450">
        <w:rPr>
          <w:rFonts w:asciiTheme="majorHAnsi" w:hAnsiTheme="majorHAnsi" w:cs="PT Bold Heading"/>
          <w:color w:val="222222"/>
          <w:sz w:val="32"/>
          <w:szCs w:val="32"/>
          <w:lang w:eastAsia="en-US"/>
        </w:rPr>
        <w:t>kadar</w:t>
      </w:r>
      <w:proofErr w:type="gramEnd"/>
      <w:r w:rsidRPr="00A83450">
        <w:rPr>
          <w:rFonts w:asciiTheme="majorHAnsi" w:hAnsiTheme="majorHAnsi" w:cs="PT Bold Heading"/>
          <w:color w:val="222222"/>
          <w:sz w:val="32"/>
          <w:szCs w:val="32"/>
          <w:lang w:eastAsia="en-US"/>
        </w:rPr>
        <w:t xml:space="preserve"> yoğun olduğu görülür: Ministroca (bir nazıra yakışacak tarzda), palais (sahilhane), epe (Padişahın hediye ettiği merasim kılıçlarını ifade etmek için Takvim-i Vekayi' bu kelimeyi </w:t>
      </w:r>
      <w:r w:rsidR="00F10B1F" w:rsidRPr="00A83450">
        <w:rPr>
          <w:rFonts w:asciiTheme="majorHAnsi" w:hAnsiTheme="majorHAnsi" w:cs="PT Bold Heading"/>
          <w:color w:val="222222"/>
          <w:sz w:val="32"/>
          <w:szCs w:val="32"/>
          <w:lang w:eastAsia="en-US"/>
        </w:rPr>
        <w:t>kullanmaktadır) gibi kelimeler</w:t>
      </w:r>
      <w:r w:rsidRPr="00A83450">
        <w:rPr>
          <w:rFonts w:asciiTheme="majorHAnsi" w:hAnsiTheme="majorHAnsi" w:cs="PT Bold Heading"/>
          <w:color w:val="222222"/>
          <w:sz w:val="32"/>
          <w:szCs w:val="32"/>
          <w:lang w:eastAsia="en-US"/>
        </w:rPr>
        <w:t xml:space="preserve"> bu bağlamda zikredilebilir</w:t>
      </w:r>
      <w:r w:rsidR="00F10B1F" w:rsidRPr="00A83450">
        <w:rPr>
          <w:rFonts w:asciiTheme="majorHAnsi" w:hAnsiTheme="majorHAnsi" w:cs="PT Bold Heading"/>
          <w:color w:val="222222"/>
          <w:sz w:val="32"/>
          <w:szCs w:val="32"/>
          <w:lang w:eastAsia="en-US"/>
        </w:rPr>
        <w:t>.</w:t>
      </w:r>
    </w:p>
    <w:p w:rsidR="00490037" w:rsidRPr="00A83450" w:rsidRDefault="00490037">
      <w:pPr>
        <w:rPr>
          <w:rFonts w:asciiTheme="majorHAnsi" w:hAnsiTheme="majorHAnsi" w:cs="PT Bold Heading"/>
          <w:color w:val="222222"/>
          <w:sz w:val="32"/>
          <w:szCs w:val="32"/>
          <w:lang w:eastAsia="en-US"/>
        </w:rPr>
      </w:pPr>
    </w:p>
    <w:p w:rsidR="00F10B1F" w:rsidRPr="00A83450" w:rsidRDefault="00490037" w:rsidP="00F10B1F">
      <w:pPr>
        <w:bidi w:val="0"/>
        <w:rPr>
          <w:rFonts w:asciiTheme="majorHAnsi" w:hAnsiTheme="majorHAnsi" w:cs="PT Bold Heading"/>
          <w:color w:val="222222"/>
          <w:sz w:val="32"/>
          <w:szCs w:val="32"/>
          <w:lang w:eastAsia="en-US"/>
        </w:rPr>
      </w:pPr>
      <w:proofErr w:type="gramStart"/>
      <w:r w:rsidRPr="00A83450">
        <w:rPr>
          <w:rFonts w:asciiTheme="majorHAnsi" w:hAnsiTheme="majorHAnsi" w:cs="PT Bold Heading"/>
          <w:color w:val="222222"/>
          <w:sz w:val="32"/>
          <w:szCs w:val="32"/>
          <w:lang w:eastAsia="en-US"/>
        </w:rPr>
        <w:t>Tanzimat Dönemi'nde Batı'dan ödünç alınan veya esinlenerek uydurulan bazı kelime ve kavramlar, bağlamı olmadan rastgele ve çabucak Türkçeye sokulurken, bazıları da ortaya çıkan yeni modernleşme şartlarıyla uyumlu olarak ve Batı'yla entegrasyon nedeniyle dilimize sokulmuştur.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Bu noktada en iyi örneklerden biri, buhran kelimesi olabilir.</w:t>
      </w:r>
      <w:proofErr w:type="gramEnd"/>
      <w:r w:rsidRPr="00A83450">
        <w:rPr>
          <w:rFonts w:asciiTheme="majorHAnsi" w:hAnsiTheme="majorHAnsi" w:cs="PT Bold Heading"/>
          <w:color w:val="222222"/>
          <w:sz w:val="32"/>
          <w:szCs w:val="32"/>
          <w:lang w:eastAsia="en-US"/>
        </w:rPr>
        <w:br/>
      </w:r>
      <w:proofErr w:type="gramStart"/>
      <w:r w:rsidRPr="00A83450">
        <w:rPr>
          <w:rFonts w:asciiTheme="majorHAnsi" w:hAnsiTheme="majorHAnsi" w:cs="PT Bold Heading"/>
          <w:color w:val="222222"/>
          <w:sz w:val="32"/>
          <w:szCs w:val="32"/>
          <w:lang w:eastAsia="en-US"/>
        </w:rPr>
        <w:t>Geleneksel Osmanlı zamanlarında krizi bilmeyen Osmanlı Devleti ve toplumu, ekonomik darboğaz ve malî bunalım yaşamaya başladığında 1267/1851 yılında kriz kelimesiyle tanışmıştır.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 xml:space="preserve">Kriz kelimesinin Türkçe karşılığı olarak buhran </w:t>
      </w:r>
      <w:r w:rsidRPr="00A83450">
        <w:rPr>
          <w:rFonts w:asciiTheme="majorHAnsi" w:hAnsiTheme="majorHAnsi" w:cs="PT Bold Heading"/>
          <w:color w:val="222222"/>
          <w:sz w:val="32"/>
          <w:szCs w:val="32"/>
          <w:lang w:eastAsia="en-US"/>
        </w:rPr>
        <w:lastRenderedPageBreak/>
        <w:t>kelimesi bulunmuş ve ondan sonra bu kelime kriz ka</w:t>
      </w:r>
      <w:r w:rsidR="00F10B1F" w:rsidRPr="00A83450">
        <w:rPr>
          <w:rFonts w:asciiTheme="majorHAnsi" w:hAnsiTheme="majorHAnsi" w:cs="PT Bold Heading"/>
          <w:color w:val="222222"/>
          <w:sz w:val="32"/>
          <w:szCs w:val="32"/>
          <w:lang w:eastAsia="en-US"/>
        </w:rPr>
        <w:t>rşılığı olarak kullanılmıştır.</w:t>
      </w:r>
      <w:proofErr w:type="gramEnd"/>
    </w:p>
    <w:p w:rsidR="00F10B1F" w:rsidRPr="00A83450" w:rsidRDefault="00490037" w:rsidP="00F10B1F">
      <w:pPr>
        <w:bidi w:val="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br/>
      </w:r>
      <w:r w:rsidRPr="00A83450">
        <w:rPr>
          <w:rFonts w:asciiTheme="majorHAnsi" w:hAnsiTheme="majorHAnsi" w:cs="PT Bold Heading"/>
          <w:color w:val="222222"/>
          <w:sz w:val="32"/>
          <w:szCs w:val="32"/>
          <w:lang w:eastAsia="en-US"/>
        </w:rPr>
        <w:br/>
      </w:r>
      <w:r w:rsidR="00F10B1F" w:rsidRPr="00A83450">
        <w:rPr>
          <w:rFonts w:asciiTheme="majorHAnsi" w:hAnsiTheme="majorHAnsi" w:cs="PT Bold Heading"/>
          <w:color w:val="222222"/>
          <w:sz w:val="32"/>
          <w:szCs w:val="32"/>
          <w:lang w:eastAsia="en-US"/>
        </w:rPr>
        <w:t xml:space="preserve">     </w:t>
      </w:r>
      <w:r w:rsidRPr="00A83450">
        <w:rPr>
          <w:rFonts w:asciiTheme="majorHAnsi" w:hAnsiTheme="majorHAnsi" w:cs="PT Bold Heading"/>
          <w:color w:val="222222"/>
          <w:sz w:val="32"/>
          <w:szCs w:val="32"/>
          <w:lang w:eastAsia="en-US"/>
        </w:rPr>
        <w:t xml:space="preserve">Fabrika kelimesinin Türkçeye yerleşme şekli de ilgi çekicidir: Eskiden işyeri, destgah anlamlarına gelen kârhâne sözcüğü kullanılırken Tanzimat zamanlarında modern bilinç ve anlayışa paralel olarak fabrika kelimesi, onun yerine geçmiştir. Fabrika, </w:t>
      </w:r>
      <w:proofErr w:type="gramStart"/>
      <w:r w:rsidRPr="00A83450">
        <w:rPr>
          <w:rFonts w:asciiTheme="majorHAnsi" w:hAnsiTheme="majorHAnsi" w:cs="PT Bold Heading"/>
          <w:color w:val="222222"/>
          <w:sz w:val="32"/>
          <w:szCs w:val="32"/>
          <w:lang w:eastAsia="en-US"/>
        </w:rPr>
        <w:t>Batı'nın</w:t>
      </w:r>
      <w:proofErr w:type="gramEnd"/>
      <w:r w:rsidRPr="00A83450">
        <w:rPr>
          <w:rFonts w:asciiTheme="majorHAnsi" w:hAnsiTheme="majorHAnsi" w:cs="PT Bold Heading"/>
          <w:color w:val="222222"/>
          <w:sz w:val="32"/>
          <w:szCs w:val="32"/>
          <w:lang w:eastAsia="en-US"/>
        </w:rPr>
        <w:t xml:space="preserve"> sanayi alanındaki en çarpıcı simgesiydi. </w:t>
      </w:r>
      <w:proofErr w:type="gramStart"/>
      <w:r w:rsidRPr="00A83450">
        <w:rPr>
          <w:rFonts w:asciiTheme="majorHAnsi" w:hAnsiTheme="majorHAnsi" w:cs="PT Bold Heading"/>
          <w:color w:val="222222"/>
          <w:sz w:val="32"/>
          <w:szCs w:val="32"/>
          <w:lang w:eastAsia="en-US"/>
        </w:rPr>
        <w:t>Yüksek bacası tüten yapıların o dönem Türk düşünürüne ve yönetic</w:t>
      </w:r>
      <w:r w:rsidR="00F10B1F" w:rsidRPr="00A83450">
        <w:rPr>
          <w:rFonts w:asciiTheme="majorHAnsi" w:hAnsiTheme="majorHAnsi" w:cs="PT Bold Heading"/>
          <w:color w:val="222222"/>
          <w:sz w:val="32"/>
          <w:szCs w:val="32"/>
          <w:lang w:eastAsia="en-US"/>
        </w:rPr>
        <w:t>ilerine etkisi güçlü olmuştur.</w:t>
      </w:r>
      <w:proofErr w:type="gramEnd"/>
    </w:p>
    <w:p w:rsidR="00490037" w:rsidRPr="00A83450" w:rsidRDefault="00490037" w:rsidP="00F10B1F">
      <w:pPr>
        <w:bidi w:val="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br/>
      </w:r>
      <w:r w:rsidR="00A83450"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Tanzimat ideolojisinin, Avrupa sivilizasyonu idealine uygun olarak ithal ettikleri bir kavram da terakki kavramıdır.</w:t>
      </w:r>
      <w:proofErr w:type="gramEnd"/>
      <w:r w:rsidRPr="00A83450">
        <w:rPr>
          <w:rFonts w:asciiTheme="majorHAnsi" w:hAnsiTheme="majorHAnsi" w:cs="PT Bold Heading"/>
          <w:color w:val="222222"/>
          <w:sz w:val="32"/>
          <w:szCs w:val="32"/>
          <w:lang w:eastAsia="en-US"/>
        </w:rPr>
        <w:t xml:space="preserve"> Geleneksel Osmanlı tarih ve zaman görüşünün değişmesine vesile olan bu kavram, modern Türkiye Cumhuriyeti'nin önemli bir sloganı olan "Muasır medeniyet seviyesine ulaşmak" gibi bir noktaya gelinmesinde temel taşlardan biri olmuştur. </w:t>
      </w:r>
      <w:proofErr w:type="gramStart"/>
      <w:r w:rsidRPr="00A83450">
        <w:rPr>
          <w:rFonts w:asciiTheme="majorHAnsi" w:hAnsiTheme="majorHAnsi" w:cs="PT Bold Heading"/>
          <w:color w:val="222222"/>
          <w:sz w:val="32"/>
          <w:szCs w:val="32"/>
          <w:lang w:eastAsia="en-US"/>
        </w:rPr>
        <w:t>Avrupa'nın</w:t>
      </w:r>
      <w:proofErr w:type="gramEnd"/>
      <w:r w:rsidRPr="00A83450">
        <w:rPr>
          <w:rFonts w:asciiTheme="majorHAnsi" w:hAnsiTheme="majorHAnsi" w:cs="PT Bold Heading"/>
          <w:color w:val="222222"/>
          <w:sz w:val="32"/>
          <w:szCs w:val="32"/>
          <w:lang w:eastAsia="en-US"/>
        </w:rPr>
        <w:t xml:space="preserve"> ilerleme fikrinin karşılığı ola</w:t>
      </w:r>
      <w:r w:rsidR="00F10B1F" w:rsidRPr="00A83450">
        <w:rPr>
          <w:rFonts w:asciiTheme="majorHAnsi" w:hAnsiTheme="majorHAnsi" w:cs="PT Bold Heading"/>
          <w:color w:val="222222"/>
          <w:sz w:val="32"/>
          <w:szCs w:val="32"/>
          <w:lang w:eastAsia="en-US"/>
        </w:rPr>
        <w:t xml:space="preserve">rak terakkî kavramıyla </w:t>
      </w:r>
      <w:r w:rsidRPr="00A83450">
        <w:rPr>
          <w:rFonts w:asciiTheme="majorHAnsi" w:hAnsiTheme="majorHAnsi" w:cs="PT Bold Heading"/>
          <w:color w:val="222222"/>
          <w:sz w:val="32"/>
          <w:szCs w:val="32"/>
          <w:lang w:eastAsia="en-US"/>
        </w:rPr>
        <w:t xml:space="preserve">birlikte ilericilik ve ilerlemeci-dünyevî tarih anlayışı, dinî kaynaklı devrevî, sarmal vb. tarih görüşünün yerine geçmeye başlamıştır. Tarih anlayışında bu şekilde gerçekleşen değişim, kısa zamanda somut etkisini göstermiş ve Osmanlı Devleti, malî muamelelerde Hicrî tarih yerine Rumî takvime geçerek Batı zaman çizgisine ayak uydurmaya çalışmıştır. </w:t>
      </w:r>
      <w:proofErr w:type="gramStart"/>
      <w:r w:rsidRPr="00A83450">
        <w:rPr>
          <w:rFonts w:asciiTheme="majorHAnsi" w:hAnsiTheme="majorHAnsi" w:cs="PT Bold Heading"/>
          <w:color w:val="222222"/>
          <w:sz w:val="32"/>
          <w:szCs w:val="32"/>
          <w:lang w:eastAsia="en-US"/>
        </w:rPr>
        <w:t>Tanzimat'la birlikte terakki kavramının Türk ve Osmanlı siyasetine yeni bir anlayış getirdiğini de belirtmek gerek.</w:t>
      </w:r>
      <w:proofErr w:type="gramEnd"/>
      <w:r w:rsidRPr="00A83450">
        <w:rPr>
          <w:rFonts w:asciiTheme="majorHAnsi" w:hAnsiTheme="majorHAnsi" w:cs="PT Bold Heading"/>
          <w:color w:val="222222"/>
          <w:sz w:val="32"/>
          <w:szCs w:val="32"/>
          <w:lang w:eastAsia="en-US"/>
        </w:rPr>
        <w:t xml:space="preserve"> Bu anlayışa göre muasır medeniyet seviyesine çıkmak için çabalayan devlet ve modernleşmeci yöneticiler, ilerici, Cevdet </w:t>
      </w:r>
      <w:proofErr w:type="gramStart"/>
      <w:r w:rsidRPr="00A83450">
        <w:rPr>
          <w:rFonts w:asciiTheme="majorHAnsi" w:hAnsiTheme="majorHAnsi" w:cs="PT Bold Heading"/>
          <w:color w:val="222222"/>
          <w:sz w:val="32"/>
          <w:szCs w:val="32"/>
          <w:lang w:eastAsia="en-US"/>
        </w:rPr>
        <w:t>Paşa'nın</w:t>
      </w:r>
      <w:proofErr w:type="gramEnd"/>
      <w:r w:rsidRPr="00A83450">
        <w:rPr>
          <w:rFonts w:asciiTheme="majorHAnsi" w:hAnsiTheme="majorHAnsi" w:cs="PT Bold Heading"/>
          <w:color w:val="222222"/>
          <w:sz w:val="32"/>
          <w:szCs w:val="32"/>
          <w:lang w:eastAsia="en-US"/>
        </w:rPr>
        <w:t xml:space="preserve"> ifadesiyle usûl-i cedîde-i Avrupa yanlısı veya efkar-ı cedîde ashabı, devlete muhalefet eden muhafazakar veya başka kanatlar ise gerici, Engelhardt'ın ifadesiyle vasıta-i irtica, Cevdet Paşa'nın ifadesiyle efkar-ı atîka ashabı veya taassub-i bârid ashabıdırlar.</w:t>
      </w:r>
    </w:p>
    <w:p w:rsidR="00490037" w:rsidRPr="00A83450" w:rsidRDefault="00490037">
      <w:pPr>
        <w:rPr>
          <w:rFonts w:asciiTheme="majorHAnsi" w:hAnsiTheme="majorHAnsi" w:cs="PT Bold Heading"/>
          <w:sz w:val="30"/>
          <w:szCs w:val="30"/>
        </w:rPr>
      </w:pPr>
    </w:p>
    <w:p w:rsidR="00F10B1F" w:rsidRPr="00A83450" w:rsidRDefault="00F11623" w:rsidP="00F10B1F">
      <w:pPr>
        <w:widowControl/>
        <w:shd w:val="clear" w:color="auto" w:fill="FFFFFF"/>
        <w:bidi w:val="0"/>
        <w:spacing w:before="100" w:beforeAutospacing="1" w:after="100" w:afterAutospacing="1"/>
        <w:rPr>
          <w:rFonts w:asciiTheme="majorHAnsi" w:hAnsiTheme="majorHAnsi" w:cs="PT Bold Heading"/>
          <w:color w:val="222222"/>
          <w:sz w:val="32"/>
          <w:szCs w:val="32"/>
          <w:lang w:eastAsia="en-US"/>
        </w:rPr>
      </w:pPr>
      <w:proofErr w:type="gramStart"/>
      <w:r w:rsidRPr="00A83450">
        <w:rPr>
          <w:rFonts w:asciiTheme="majorHAnsi" w:hAnsiTheme="majorHAnsi" w:cs="PT Bold Heading"/>
          <w:color w:val="222222"/>
          <w:sz w:val="32"/>
          <w:szCs w:val="32"/>
          <w:lang w:eastAsia="en-US"/>
        </w:rPr>
        <w:lastRenderedPageBreak/>
        <w:t>Tanzimat Dönemi'nde dilin değişimi bağlamında ele alınması gereken kavramlardan biri de vatan kavramıdır.</w:t>
      </w:r>
      <w:proofErr w:type="gramEnd"/>
      <w:r w:rsidRPr="00A83450">
        <w:rPr>
          <w:rFonts w:asciiTheme="majorHAnsi" w:hAnsiTheme="majorHAnsi" w:cs="PT Bold Heading"/>
          <w:color w:val="222222"/>
          <w:sz w:val="32"/>
          <w:szCs w:val="32"/>
          <w:lang w:eastAsia="en-US"/>
        </w:rPr>
        <w:t xml:space="preserve"> İzledikleri </w:t>
      </w:r>
      <w:proofErr w:type="gramStart"/>
      <w:r w:rsidRPr="00A83450">
        <w:rPr>
          <w:rFonts w:asciiTheme="majorHAnsi" w:hAnsiTheme="majorHAnsi" w:cs="PT Bold Heading"/>
          <w:color w:val="222222"/>
          <w:sz w:val="32"/>
          <w:szCs w:val="32"/>
          <w:lang w:eastAsia="en-US"/>
        </w:rPr>
        <w:t>Osmanlı(</w:t>
      </w:r>
      <w:proofErr w:type="gramEnd"/>
      <w:r w:rsidRPr="00A83450">
        <w:rPr>
          <w:rFonts w:asciiTheme="majorHAnsi" w:hAnsiTheme="majorHAnsi" w:cs="PT Bold Heading"/>
          <w:color w:val="222222"/>
          <w:sz w:val="32"/>
          <w:szCs w:val="32"/>
          <w:lang w:eastAsia="en-US"/>
        </w:rPr>
        <w:t xml:space="preserve">cı)lık politikasından, Batı milliyetçiliğinden etkilendikleri anlaşılan Tanzimatçılar, vatan kavramının Türkçeye Batı'daki anlamıyla girmesinde rol oynamışlardır. Bunu gerek kavramın Tanzimatçılar tarafından kullanılmaya başlamasından, gerekse Cevdet </w:t>
      </w:r>
      <w:proofErr w:type="gramStart"/>
      <w:r w:rsidRPr="00A83450">
        <w:rPr>
          <w:rFonts w:asciiTheme="majorHAnsi" w:hAnsiTheme="majorHAnsi" w:cs="PT Bold Heading"/>
          <w:color w:val="222222"/>
          <w:sz w:val="32"/>
          <w:szCs w:val="32"/>
          <w:lang w:eastAsia="en-US"/>
        </w:rPr>
        <w:t>Paşa'nın</w:t>
      </w:r>
      <w:proofErr w:type="gramEnd"/>
      <w:r w:rsidRPr="00A83450">
        <w:rPr>
          <w:rFonts w:asciiTheme="majorHAnsi" w:hAnsiTheme="majorHAnsi" w:cs="PT Bold Heading"/>
          <w:color w:val="222222"/>
          <w:sz w:val="32"/>
          <w:szCs w:val="32"/>
          <w:lang w:eastAsia="en-US"/>
        </w:rPr>
        <w:t xml:space="preserve"> gayrimüslimlerle Müslümanların birlikte askerlik yapmaları olayıyla vatan kavramı arasındaki ilişkiye dair değerlendirmesinden çıkarıp anlamak mümkündür. </w:t>
      </w:r>
      <w:proofErr w:type="gramStart"/>
      <w:r w:rsidRPr="00A83450">
        <w:rPr>
          <w:rFonts w:asciiTheme="majorHAnsi" w:hAnsiTheme="majorHAnsi" w:cs="PT Bold Heading"/>
          <w:color w:val="222222"/>
          <w:sz w:val="32"/>
          <w:szCs w:val="32"/>
          <w:lang w:eastAsia="en-US"/>
        </w:rPr>
        <w:t>Gerçi Cevdet Paşa, vatan kavramının Müslümanlar arasında tutmayacağını, etkili olmayacağını belirtse de böyle bir tartışmaya girmiş olması, milliyetçiliğin Türkiye'deki izlerini göstermesi açısından önemlidir.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Eskiden Müslümanlar arasında vatan, kişinin doğduğu yeri, "askerin köylerindeki meydanları"</w:t>
      </w:r>
      <w:r w:rsidR="00F10B1F" w:rsidRPr="00A83450">
        <w:rPr>
          <w:rFonts w:asciiTheme="majorHAnsi" w:hAnsiTheme="majorHAnsi" w:cs="PT Bold Heading"/>
          <w:color w:val="222222"/>
          <w:sz w:val="32"/>
          <w:szCs w:val="32"/>
          <w:lang w:eastAsia="en-US"/>
        </w:rPr>
        <w:t xml:space="preserve"> </w:t>
      </w:r>
      <w:r w:rsidRPr="00A83450">
        <w:rPr>
          <w:rFonts w:asciiTheme="majorHAnsi" w:hAnsiTheme="majorHAnsi" w:cs="PT Bold Heading"/>
          <w:color w:val="222222"/>
          <w:sz w:val="32"/>
          <w:szCs w:val="32"/>
          <w:lang w:eastAsia="en-US"/>
        </w:rPr>
        <w:t>ifade ederken Tanzimat'la birlikte gerek sözlüklerde, gerekse basında, Batı'daki gibi siyasî anlamı</w:t>
      </w:r>
      <w:r w:rsidR="00F10B1F" w:rsidRPr="00A83450">
        <w:rPr>
          <w:rFonts w:asciiTheme="majorHAnsi" w:hAnsiTheme="majorHAnsi" w:cs="PT Bold Heading"/>
          <w:color w:val="222222"/>
          <w:sz w:val="32"/>
          <w:szCs w:val="32"/>
          <w:lang w:eastAsia="en-US"/>
        </w:rPr>
        <w:t>nda kullanılmaya başlanmıştır.</w:t>
      </w:r>
      <w:proofErr w:type="gramEnd"/>
    </w:p>
    <w:p w:rsidR="00F10B1F" w:rsidRPr="00A83450" w:rsidRDefault="00F10B1F" w:rsidP="00F10B1F">
      <w:pPr>
        <w:widowControl/>
        <w:shd w:val="clear" w:color="auto" w:fill="FFFFFF"/>
        <w:bidi w:val="0"/>
        <w:spacing w:before="100" w:beforeAutospacing="1" w:after="100" w:afterAutospacing="1"/>
        <w:ind w:firstLine="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Vatan kelimesi değişiyor ve Batılılaşıyorsa, millet sözcüğü de değişiyor, Batılılaşıyor demektir.</w:t>
      </w:r>
      <w:proofErr w:type="gramEnd"/>
      <w:r w:rsidR="00F11623"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Millet kavramı Klasik Osmanlı'da dinî manada çeşitli din mensubu cemaatleri ifade etmek üzere kullanılırken III.</w:t>
      </w:r>
      <w:proofErr w:type="gramEnd"/>
      <w:r w:rsidR="00F11623"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Selim döneminden itibaren yavaş yavaş Batılı anlamda kullanılmaya başlanmış ve Tanzimat Fermanı ile birlikte açıkça Batılı bir millet kavramı oluşmuştur.</w:t>
      </w:r>
      <w:proofErr w:type="gramEnd"/>
      <w:r w:rsidR="00F11623"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Hem vatan, hem de millet kavramları Gülhane Hattı'nda karmaşık bir anlamla kullanılmışlarsa da aslında bu vatancılık ve milliyetçiliğin kavramları olarak kullanılmaya başlamaları demektir.</w:t>
      </w:r>
      <w:proofErr w:type="gramEnd"/>
    </w:p>
    <w:p w:rsidR="00F10B1F" w:rsidRPr="00A83450" w:rsidRDefault="00F10B1F" w:rsidP="00F10B1F">
      <w:pPr>
        <w:widowControl/>
        <w:shd w:val="clear" w:color="auto" w:fill="FFFFFF"/>
        <w:bidi w:val="0"/>
        <w:spacing w:before="100" w:beforeAutospacing="1" w:after="100" w:afterAutospacing="1"/>
        <w:ind w:firstLine="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Hürriyet de önemli anlam değişikliklerine uğrayan kavramlardandır.</w:t>
      </w:r>
      <w:proofErr w:type="gramEnd"/>
      <w:r w:rsidR="00F11623"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Hürriyet kavramı geleneksel İslam anlayışında esirliğin/köleliğin karşıtı ve hür ise esir/köle kelimelerinin karşıtı iken, Tanzimat'la birlikte tüm siyasî özgürlüklere sahip olma anlamında kullanılmaya başlanmıştır.</w:t>
      </w:r>
      <w:proofErr w:type="gramEnd"/>
      <w:r w:rsidR="00F11623" w:rsidRPr="00A83450">
        <w:rPr>
          <w:rFonts w:asciiTheme="majorHAnsi" w:hAnsiTheme="majorHAnsi" w:cs="PT Bold Heading"/>
          <w:color w:val="222222"/>
          <w:sz w:val="32"/>
          <w:szCs w:val="32"/>
          <w:lang w:eastAsia="en-US"/>
        </w:rPr>
        <w:t xml:space="preserve"> Önce serbestiyet kelimesi kullanılmış, zamanla bu kelimenin aşağılayıcı anlamda kullanılması sonucu </w:t>
      </w:r>
      <w:r w:rsidR="00F11623" w:rsidRPr="00A83450">
        <w:rPr>
          <w:rFonts w:asciiTheme="majorHAnsi" w:hAnsiTheme="majorHAnsi" w:cs="PT Bold Heading"/>
          <w:color w:val="222222"/>
          <w:sz w:val="32"/>
          <w:szCs w:val="32"/>
          <w:lang w:eastAsia="en-US"/>
        </w:rPr>
        <w:lastRenderedPageBreak/>
        <w:t xml:space="preserve">hürrriyet kavramı </w:t>
      </w:r>
      <w:proofErr w:type="gramStart"/>
      <w:r w:rsidR="00F11623" w:rsidRPr="00A83450">
        <w:rPr>
          <w:rFonts w:asciiTheme="majorHAnsi" w:hAnsiTheme="majorHAnsi" w:cs="PT Bold Heading"/>
          <w:color w:val="222222"/>
          <w:sz w:val="32"/>
          <w:szCs w:val="32"/>
          <w:lang w:eastAsia="en-US"/>
        </w:rPr>
        <w:t>kabul</w:t>
      </w:r>
      <w:proofErr w:type="gramEnd"/>
      <w:r w:rsidR="00F11623" w:rsidRPr="00A83450">
        <w:rPr>
          <w:rFonts w:asciiTheme="majorHAnsi" w:hAnsiTheme="majorHAnsi" w:cs="PT Bold Heading"/>
          <w:color w:val="222222"/>
          <w:sz w:val="32"/>
          <w:szCs w:val="32"/>
          <w:lang w:eastAsia="en-US"/>
        </w:rPr>
        <w:t xml:space="preserve"> görmüştür.66 Hürriyet kavramının ilgi çekici bir şekilde 1256/1840 tarihli Ceza Kanunu'nda Hürriyet-i Şer'iyye şeklinde kullanıldığını görmekteyiz.</w:t>
      </w:r>
    </w:p>
    <w:p w:rsidR="00F10B1F" w:rsidRPr="00A83450" w:rsidRDefault="00F10B1F" w:rsidP="00F10B1F">
      <w:pPr>
        <w:widowControl/>
        <w:shd w:val="clear" w:color="auto" w:fill="FFFFFF"/>
        <w:bidi w:val="0"/>
        <w:spacing w:before="100" w:beforeAutospacing="1" w:after="100" w:afterAutospacing="1"/>
        <w:ind w:firstLine="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Hürriyet kavramının, 18.</w:t>
      </w:r>
      <w:proofErr w:type="gramEnd"/>
      <w:r w:rsidR="00F11623"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yüzyıl</w:t>
      </w:r>
      <w:proofErr w:type="gramEnd"/>
      <w:r w:rsidR="00F11623" w:rsidRPr="00A83450">
        <w:rPr>
          <w:rFonts w:asciiTheme="majorHAnsi" w:hAnsiTheme="majorHAnsi" w:cs="PT Bold Heading"/>
          <w:color w:val="222222"/>
          <w:sz w:val="32"/>
          <w:szCs w:val="32"/>
          <w:lang w:eastAsia="en-US"/>
        </w:rPr>
        <w:t xml:space="preserve"> Fransası'nın din ve kilise karşıtı fikirlerinden çıktığı67 düşünüldüğünde, Tanzimat Dönemi'nde devlet ve toplumun Batı'nın etkisiyle kendi geleneğinde var olan kavramların muhtevasını nasıl değiştirdiği daha iyi anlaşılacaktır.</w:t>
      </w:r>
    </w:p>
    <w:p w:rsidR="00F11623" w:rsidRPr="00A83450" w:rsidRDefault="00F10B1F" w:rsidP="00F10B1F">
      <w:pPr>
        <w:widowControl/>
        <w:shd w:val="clear" w:color="auto" w:fill="FFFFFF"/>
        <w:bidi w:val="0"/>
        <w:spacing w:before="100" w:beforeAutospacing="1" w:after="100" w:afterAutospacing="1"/>
        <w:ind w:firstLine="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Bu noktada birçok kavram veya sözcüğün, Batı'dakilere benzetilerek yeni bir içerik ve formla kullanıldığını zikretmek gerek.</w:t>
      </w:r>
      <w:proofErr w:type="gramEnd"/>
      <w:r w:rsidR="00F11623" w:rsidRPr="00A83450">
        <w:rPr>
          <w:rFonts w:asciiTheme="majorHAnsi" w:hAnsiTheme="majorHAnsi" w:cs="PT Bold Heading"/>
          <w:color w:val="222222"/>
          <w:sz w:val="32"/>
          <w:szCs w:val="32"/>
          <w:lang w:eastAsia="en-US"/>
        </w:rPr>
        <w:t xml:space="preserve"> Orhan Koloğulu'na göre Tanzimat Dönemi'nde eskinin İslam dışında mükemmeliyeti </w:t>
      </w:r>
      <w:proofErr w:type="gramStart"/>
      <w:r w:rsidR="00F11623" w:rsidRPr="00A83450">
        <w:rPr>
          <w:rFonts w:asciiTheme="majorHAnsi" w:hAnsiTheme="majorHAnsi" w:cs="PT Bold Heading"/>
          <w:color w:val="222222"/>
          <w:sz w:val="32"/>
          <w:szCs w:val="32"/>
          <w:lang w:eastAsia="en-US"/>
        </w:rPr>
        <w:t>kabul</w:t>
      </w:r>
      <w:proofErr w:type="gramEnd"/>
      <w:r w:rsidR="00F11623" w:rsidRPr="00A83450">
        <w:rPr>
          <w:rFonts w:asciiTheme="majorHAnsi" w:hAnsiTheme="majorHAnsi" w:cs="PT Bold Heading"/>
          <w:color w:val="222222"/>
          <w:sz w:val="32"/>
          <w:szCs w:val="32"/>
          <w:lang w:eastAsia="en-US"/>
        </w:rPr>
        <w:t xml:space="preserve"> etmeyen anlayışına karşılık yeni bir değerlendirme ölçüsü sunulmaktadır.</w:t>
      </w:r>
    </w:p>
    <w:p w:rsidR="00F10B1F" w:rsidRPr="00A83450" w:rsidRDefault="00F10B1F" w:rsidP="00F10B1F">
      <w:pPr>
        <w:bidi w:val="0"/>
        <w:ind w:firstLine="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t xml:space="preserve">     </w:t>
      </w:r>
      <w:r w:rsidR="00F11623" w:rsidRPr="00A83450">
        <w:rPr>
          <w:rFonts w:asciiTheme="majorHAnsi" w:hAnsiTheme="majorHAnsi" w:cs="PT Bold Heading"/>
          <w:color w:val="222222"/>
          <w:sz w:val="32"/>
          <w:szCs w:val="32"/>
          <w:lang w:eastAsia="en-US"/>
        </w:rPr>
        <w:t xml:space="preserve">"Medeniyet-i hikmet üzerine mübtenî olan memleketler", "Heyet-i medeniyye", "Düvel-i mütemeddine", "Alem-i temeddün" deyimleri açıkça Avrupa örneğini göstermektedir. </w:t>
      </w:r>
      <w:proofErr w:type="gramStart"/>
      <w:r w:rsidR="00F11623" w:rsidRPr="00A83450">
        <w:rPr>
          <w:rFonts w:asciiTheme="majorHAnsi" w:hAnsiTheme="majorHAnsi" w:cs="PT Bold Heading"/>
          <w:color w:val="222222"/>
          <w:sz w:val="32"/>
          <w:szCs w:val="32"/>
          <w:lang w:eastAsia="en-US"/>
        </w:rPr>
        <w:t>Alışılmış Asr-ı saadet özlemi yerine Asr-ı sanayi, asr-ı terakki hedefi konmaktadır.</w:t>
      </w:r>
      <w:proofErr w:type="gramEnd"/>
      <w:r w:rsidR="00F11623" w:rsidRPr="00A83450">
        <w:rPr>
          <w:rFonts w:asciiTheme="majorHAnsi" w:hAnsiTheme="majorHAnsi" w:cs="PT Bold Heading"/>
          <w:color w:val="222222"/>
          <w:sz w:val="32"/>
          <w:szCs w:val="32"/>
          <w:lang w:eastAsia="en-US"/>
        </w:rPr>
        <w:t xml:space="preserve"> Bu yaklaşımın tamamlayıcısı olarak "eskilik taraftarı" ve "halihazırın muhafazakarı" diye nitelenenlerin karşısına "efkar-ı cedîde", "teceddüd usûlü", "terakki taraftarları" olanlar çıkarılmaktadır. </w:t>
      </w:r>
      <w:proofErr w:type="gramStart"/>
      <w:r w:rsidR="00F11623" w:rsidRPr="00A83450">
        <w:rPr>
          <w:rFonts w:asciiTheme="majorHAnsi" w:hAnsiTheme="majorHAnsi" w:cs="PT Bold Heading"/>
          <w:color w:val="222222"/>
          <w:sz w:val="32"/>
          <w:szCs w:val="32"/>
          <w:lang w:eastAsia="en-US"/>
        </w:rPr>
        <w:t>Bunların yanı sıra hak el-nâs, hakk-ı tabiî, serbestiyet, intihab, ihtilal, inkılab, vatan, vatandaş, vatanperver sözcüklerine kademe kademe yeni anlamlar verildiği fark edilmektedir.</w:t>
      </w:r>
      <w:proofErr w:type="gramEnd"/>
      <w:r w:rsidR="00F11623" w:rsidRPr="00A83450">
        <w:rPr>
          <w:rFonts w:asciiTheme="majorHAnsi" w:hAnsiTheme="majorHAnsi" w:cs="PT Bold Heading"/>
          <w:color w:val="222222"/>
          <w:sz w:val="32"/>
          <w:szCs w:val="32"/>
          <w:lang w:eastAsia="en-US"/>
        </w:rPr>
        <w:t xml:space="preserve"> </w:t>
      </w:r>
      <w:proofErr w:type="gramStart"/>
      <w:r w:rsidR="00F11623" w:rsidRPr="00A83450">
        <w:rPr>
          <w:rFonts w:asciiTheme="majorHAnsi" w:hAnsiTheme="majorHAnsi" w:cs="PT Bold Heading"/>
          <w:color w:val="222222"/>
          <w:sz w:val="32"/>
          <w:szCs w:val="32"/>
          <w:lang w:eastAsia="en-US"/>
        </w:rPr>
        <w:t>Batı'nın</w:t>
      </w:r>
      <w:proofErr w:type="gramEnd"/>
      <w:r w:rsidR="00F11623" w:rsidRPr="00A83450">
        <w:rPr>
          <w:rFonts w:asciiTheme="majorHAnsi" w:hAnsiTheme="majorHAnsi" w:cs="PT Bold Heading"/>
          <w:color w:val="222222"/>
          <w:sz w:val="32"/>
          <w:szCs w:val="32"/>
          <w:lang w:eastAsia="en-US"/>
        </w:rPr>
        <w:t xml:space="preserve"> başlıca kurumu olan Meclis-i Mebusan ve halkla özdeşleşen rejim olarak Cumhur'un (bazen de Cumhuriyet) ve buna bağlı olarak Reisicumhurun son derece yoğun olarak kullanımına rastlamaktayız. </w:t>
      </w:r>
      <w:proofErr w:type="gramStart"/>
      <w:r w:rsidR="00F11623" w:rsidRPr="00A83450">
        <w:rPr>
          <w:rFonts w:asciiTheme="majorHAnsi" w:hAnsiTheme="majorHAnsi" w:cs="PT Bold Heading"/>
          <w:color w:val="222222"/>
          <w:sz w:val="32"/>
          <w:szCs w:val="32"/>
          <w:lang w:eastAsia="en-US"/>
        </w:rPr>
        <w:t>Tabii rejimin temelini oluşturan Konstitüsyon (Anayasa) da o derece yoğun kullanılmaktadır.</w:t>
      </w:r>
      <w:proofErr w:type="gramEnd"/>
    </w:p>
    <w:p w:rsidR="00F11623" w:rsidRPr="00A83450" w:rsidRDefault="00F11623" w:rsidP="00A83450">
      <w:pPr>
        <w:bidi w:val="0"/>
        <w:ind w:firstLine="0"/>
        <w:rPr>
          <w:rFonts w:asciiTheme="majorHAnsi" w:hAnsiTheme="majorHAnsi" w:cs="PT Bold Heading"/>
          <w:color w:val="222222"/>
          <w:sz w:val="32"/>
          <w:szCs w:val="32"/>
          <w:lang w:eastAsia="en-US"/>
        </w:rPr>
      </w:pPr>
      <w:r w:rsidRPr="00A83450">
        <w:rPr>
          <w:rFonts w:asciiTheme="majorHAnsi" w:hAnsiTheme="majorHAnsi" w:cs="PT Bold Heading"/>
          <w:color w:val="222222"/>
          <w:sz w:val="32"/>
          <w:szCs w:val="32"/>
          <w:lang w:eastAsia="en-US"/>
        </w:rPr>
        <w:br/>
      </w:r>
      <w:r w:rsidR="00F10B1F"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Tanzimatçıların Batı'dan ödünç alarak Türkçeye soktukları önemli kavramlardan biri de, Tanpınar'ın Tanzimat ideolojilerinden biri olarak ifade ettiği medeniyet'tir.</w:t>
      </w:r>
      <w:proofErr w:type="gramEnd"/>
      <w:r w:rsidRPr="00A83450">
        <w:rPr>
          <w:rFonts w:asciiTheme="majorHAnsi" w:hAnsiTheme="majorHAnsi" w:cs="PT Bold Heading"/>
          <w:color w:val="222222"/>
          <w:sz w:val="32"/>
          <w:szCs w:val="32"/>
          <w:lang w:eastAsia="en-US"/>
        </w:rPr>
        <w:t xml:space="preserve"> Tanzimat'ın büyük hedeflerinden biri, </w:t>
      </w:r>
      <w:proofErr w:type="gramStart"/>
      <w:r w:rsidRPr="00A83450">
        <w:rPr>
          <w:rFonts w:asciiTheme="majorHAnsi" w:hAnsiTheme="majorHAnsi" w:cs="PT Bold Heading"/>
          <w:color w:val="222222"/>
          <w:sz w:val="32"/>
          <w:szCs w:val="32"/>
          <w:lang w:eastAsia="en-US"/>
        </w:rPr>
        <w:t>Avrupa'nın</w:t>
      </w:r>
      <w:proofErr w:type="gramEnd"/>
      <w:r w:rsidRPr="00A83450">
        <w:rPr>
          <w:rFonts w:asciiTheme="majorHAnsi" w:hAnsiTheme="majorHAnsi" w:cs="PT Bold Heading"/>
          <w:color w:val="222222"/>
          <w:sz w:val="32"/>
          <w:szCs w:val="32"/>
          <w:lang w:eastAsia="en-US"/>
        </w:rPr>
        <w:t xml:space="preserve"> temsil ettiği medeniyet seviyesini yakalamaktı.</w:t>
      </w:r>
    </w:p>
    <w:p w:rsidR="00A83450" w:rsidRPr="00A83450" w:rsidRDefault="00F11623" w:rsidP="00F10B1F">
      <w:pPr>
        <w:bidi w:val="0"/>
        <w:rPr>
          <w:rFonts w:asciiTheme="majorHAnsi" w:hAnsiTheme="majorHAnsi" w:cs="PT Bold Heading"/>
          <w:color w:val="222222"/>
          <w:sz w:val="32"/>
          <w:szCs w:val="32"/>
          <w:lang w:eastAsia="en-US"/>
        </w:rPr>
      </w:pPr>
      <w:proofErr w:type="gramStart"/>
      <w:r w:rsidRPr="00A83450">
        <w:rPr>
          <w:rFonts w:asciiTheme="majorHAnsi" w:hAnsiTheme="majorHAnsi" w:cs="PT Bold Heading"/>
          <w:color w:val="222222"/>
          <w:sz w:val="32"/>
          <w:szCs w:val="32"/>
          <w:lang w:eastAsia="en-US"/>
        </w:rPr>
        <w:lastRenderedPageBreak/>
        <w:t>Sivilizasyon (civilisation) kelimesinin karşılığı olarak medeniyet, temeddün, ünsiyet, mesûniyet veya asıl haliyle civilisation, gerçekten de Tanzimat'ın ideolojisi dedirtecek ölçüde çok sık kullanılmış ve çok yüceltilmiştir.</w:t>
      </w:r>
      <w:proofErr w:type="gramEnd"/>
      <w:r w:rsidRPr="00A83450">
        <w:rPr>
          <w:rFonts w:asciiTheme="majorHAnsi" w:hAnsiTheme="majorHAnsi" w:cs="PT Bold Heading"/>
          <w:color w:val="222222"/>
          <w:sz w:val="32"/>
          <w:szCs w:val="32"/>
          <w:lang w:eastAsia="en-US"/>
        </w:rPr>
        <w:t xml:space="preserve"> Herhalde </w:t>
      </w:r>
      <w:proofErr w:type="gramStart"/>
      <w:r w:rsidRPr="00A83450">
        <w:rPr>
          <w:rFonts w:asciiTheme="majorHAnsi" w:hAnsiTheme="majorHAnsi" w:cs="PT Bold Heading"/>
          <w:color w:val="222222"/>
          <w:sz w:val="32"/>
          <w:szCs w:val="32"/>
          <w:lang w:eastAsia="en-US"/>
        </w:rPr>
        <w:t>Şinasi'nin</w:t>
      </w:r>
      <w:proofErr w:type="gramEnd"/>
      <w:r w:rsidRPr="00A83450">
        <w:rPr>
          <w:rFonts w:asciiTheme="majorHAnsi" w:hAnsiTheme="majorHAnsi" w:cs="PT Bold Heading"/>
          <w:color w:val="222222"/>
          <w:sz w:val="32"/>
          <w:szCs w:val="32"/>
          <w:lang w:eastAsia="en-US"/>
        </w:rPr>
        <w:t xml:space="preserve"> M. Reşid Paşa için söylediği "medeniyet rasulü" ifadesini de bu çerçevede ele almak gerek. S. Rıf'at Paşa, M. Reşid Paşa, Alî Paşa, Münif Paşa, Sami Efendi gibi aydınların yazılarında, fermanlarda, hep sivilizasyona ve onun tariflerine rastlanır. </w:t>
      </w:r>
      <w:proofErr w:type="gramStart"/>
      <w:r w:rsidRPr="00A83450">
        <w:rPr>
          <w:rFonts w:asciiTheme="majorHAnsi" w:hAnsiTheme="majorHAnsi" w:cs="PT Bold Heading"/>
          <w:color w:val="222222"/>
          <w:sz w:val="32"/>
          <w:szCs w:val="32"/>
          <w:lang w:eastAsia="en-US"/>
        </w:rPr>
        <w:t>Her halükarda kavramın içinde, Batı medeniyetinin geniş bir yerinin olduğu anlaşılmaktadır.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Bu durum, medeniyetin Batıcılıkla eş anlamlı olarak algılanmasına neden olmuştur.</w:t>
      </w:r>
      <w:proofErr w:type="gramEnd"/>
      <w:r w:rsidRPr="00A83450">
        <w:rPr>
          <w:rFonts w:asciiTheme="majorHAnsi" w:hAnsiTheme="majorHAnsi" w:cs="PT Bold Heading"/>
          <w:color w:val="222222"/>
          <w:sz w:val="32"/>
          <w:szCs w:val="32"/>
          <w:lang w:eastAsia="en-US"/>
        </w:rPr>
        <w:t xml:space="preserve"> </w:t>
      </w:r>
      <w:proofErr w:type="gramStart"/>
      <w:r w:rsidRPr="00A83450">
        <w:rPr>
          <w:rFonts w:asciiTheme="majorHAnsi" w:hAnsiTheme="majorHAnsi" w:cs="PT Bold Heading"/>
          <w:color w:val="222222"/>
          <w:sz w:val="32"/>
          <w:szCs w:val="32"/>
          <w:lang w:eastAsia="en-US"/>
        </w:rPr>
        <w:t>Zamanla Batıcılığa karşı çıkmak medeniyete karşı çıkmakla eşdeğer görülmeye başlanmıştır.</w:t>
      </w:r>
      <w:proofErr w:type="gramEnd"/>
    </w:p>
    <w:p w:rsidR="00F11623" w:rsidRPr="00A83450" w:rsidRDefault="00F11623" w:rsidP="00A83450">
      <w:pPr>
        <w:bidi w:val="0"/>
        <w:rPr>
          <w:rFonts w:asciiTheme="majorHAnsi" w:hAnsiTheme="majorHAnsi" w:cs="PT Bold Heading"/>
          <w:sz w:val="30"/>
          <w:szCs w:val="30"/>
        </w:rPr>
      </w:pPr>
      <w:r w:rsidRPr="00A83450">
        <w:rPr>
          <w:rFonts w:asciiTheme="majorHAnsi" w:hAnsiTheme="majorHAnsi" w:cs="PT Bold Heading"/>
          <w:color w:val="222222"/>
          <w:sz w:val="32"/>
          <w:szCs w:val="32"/>
          <w:lang w:eastAsia="en-US"/>
        </w:rPr>
        <w:br/>
      </w:r>
      <w:r w:rsidRPr="00A83450">
        <w:rPr>
          <w:rFonts w:asciiTheme="majorHAnsi" w:hAnsiTheme="majorHAnsi" w:cs="PT Bold Heading"/>
          <w:color w:val="222222"/>
          <w:sz w:val="32"/>
          <w:szCs w:val="32"/>
          <w:lang w:eastAsia="en-US"/>
        </w:rPr>
        <w:br/>
      </w:r>
      <w:bookmarkStart w:id="0" w:name="_GoBack"/>
      <w:bookmarkEnd w:id="0"/>
    </w:p>
    <w:sectPr w:rsidR="00F11623" w:rsidRPr="00A83450"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D34B5"/>
    <w:rsid w:val="000458C1"/>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445F8"/>
    <w:rsid w:val="00456458"/>
    <w:rsid w:val="00490037"/>
    <w:rsid w:val="004A3F44"/>
    <w:rsid w:val="004D35AB"/>
    <w:rsid w:val="004F1BA1"/>
    <w:rsid w:val="00512C46"/>
    <w:rsid w:val="00545448"/>
    <w:rsid w:val="00562912"/>
    <w:rsid w:val="005C7D9D"/>
    <w:rsid w:val="0064321A"/>
    <w:rsid w:val="006722CA"/>
    <w:rsid w:val="0068596A"/>
    <w:rsid w:val="006E234E"/>
    <w:rsid w:val="006E6B72"/>
    <w:rsid w:val="006E6BA2"/>
    <w:rsid w:val="006F4CA7"/>
    <w:rsid w:val="0074520F"/>
    <w:rsid w:val="00777673"/>
    <w:rsid w:val="00793F74"/>
    <w:rsid w:val="007B10E0"/>
    <w:rsid w:val="007B5D2B"/>
    <w:rsid w:val="007F6F87"/>
    <w:rsid w:val="00807F8F"/>
    <w:rsid w:val="008452E1"/>
    <w:rsid w:val="00875E98"/>
    <w:rsid w:val="00890336"/>
    <w:rsid w:val="008F42FA"/>
    <w:rsid w:val="008F4869"/>
    <w:rsid w:val="00991E40"/>
    <w:rsid w:val="009A7ACE"/>
    <w:rsid w:val="009B682D"/>
    <w:rsid w:val="009B7238"/>
    <w:rsid w:val="009F26D1"/>
    <w:rsid w:val="00A342DF"/>
    <w:rsid w:val="00A44C74"/>
    <w:rsid w:val="00A65CAD"/>
    <w:rsid w:val="00A77F53"/>
    <w:rsid w:val="00A83450"/>
    <w:rsid w:val="00AD34B5"/>
    <w:rsid w:val="00AD4E8E"/>
    <w:rsid w:val="00B26F80"/>
    <w:rsid w:val="00B432B8"/>
    <w:rsid w:val="00BC6176"/>
    <w:rsid w:val="00C126BD"/>
    <w:rsid w:val="00C5563F"/>
    <w:rsid w:val="00C56BF0"/>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0B1F"/>
    <w:rsid w:val="00F11623"/>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character" w:styleId="Strong">
    <w:name w:val="Strong"/>
    <w:basedOn w:val="DefaultParagraphFont"/>
    <w:uiPriority w:val="22"/>
    <w:qFormat/>
    <w:rsid w:val="000458C1"/>
    <w:rPr>
      <w:b/>
      <w:bCs/>
    </w:rPr>
  </w:style>
  <w:style w:type="character" w:styleId="Hyperlink">
    <w:name w:val="Hyperlink"/>
    <w:basedOn w:val="DefaultParagraphFont"/>
    <w:uiPriority w:val="99"/>
    <w:unhideWhenUsed/>
    <w:rsid w:val="000458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58123">
      <w:bodyDiv w:val="1"/>
      <w:marLeft w:val="0"/>
      <w:marRight w:val="0"/>
      <w:marTop w:val="0"/>
      <w:marBottom w:val="0"/>
      <w:divBdr>
        <w:top w:val="none" w:sz="0" w:space="0" w:color="auto"/>
        <w:left w:val="none" w:sz="0" w:space="0" w:color="auto"/>
        <w:bottom w:val="none" w:sz="0" w:space="0" w:color="auto"/>
        <w:right w:val="none" w:sz="0" w:space="0" w:color="auto"/>
      </w:divBdr>
      <w:divsChild>
        <w:div w:id="603653758">
          <w:marLeft w:val="0"/>
          <w:marRight w:val="0"/>
          <w:marTop w:val="0"/>
          <w:marBottom w:val="0"/>
          <w:divBdr>
            <w:top w:val="none" w:sz="0" w:space="0" w:color="auto"/>
            <w:left w:val="none" w:sz="0" w:space="0" w:color="auto"/>
            <w:bottom w:val="none" w:sz="0" w:space="0" w:color="auto"/>
            <w:right w:val="none" w:sz="0" w:space="0" w:color="auto"/>
          </w:divBdr>
        </w:div>
        <w:div w:id="584150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basheer</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 LIFE</dc:creator>
  <cp:keywords/>
  <dc:description/>
  <cp:lastModifiedBy>TRUE LIFE</cp:lastModifiedBy>
  <cp:revision>6</cp:revision>
  <dcterms:created xsi:type="dcterms:W3CDTF">2018-10-29T10:45:00Z</dcterms:created>
  <dcterms:modified xsi:type="dcterms:W3CDTF">2018-10-31T07:51:00Z</dcterms:modified>
</cp:coreProperties>
</file>